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b/>
          <w:bCs w:val="0"/>
          <w:w w:val="150"/>
          <w:kern w:val="2"/>
          <w:sz w:val="60"/>
          <w:szCs w:val="60"/>
          <w:lang w:val="en-US" w:eastAsia="zh-CN" w:bidi="ar"/>
        </w:rPr>
      </w:pPr>
      <w:r>
        <w:rPr>
          <w:rFonts w:hint="eastAsia" w:ascii="黑体" w:hAnsi="Times New Roman" w:eastAsia="黑体" w:cs="黑体"/>
          <w:b/>
          <w:bCs w:val="0"/>
          <w:w w:val="150"/>
          <w:kern w:val="2"/>
          <w:sz w:val="60"/>
          <w:szCs w:val="60"/>
          <w:lang w:val="en-US" w:eastAsia="zh-CN" w:bidi="ar"/>
        </w:rPr>
        <w:t>2019年硕士研究生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b/>
          <w:bCs w:val="0"/>
          <w:w w:val="150"/>
          <w:kern w:val="2"/>
          <w:sz w:val="60"/>
          <w:szCs w:val="6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b/>
          <w:bCs w:val="0"/>
          <w:w w:val="150"/>
          <w:kern w:val="2"/>
          <w:sz w:val="80"/>
          <w:szCs w:val="80"/>
          <w:lang w:val="en-US" w:eastAsia="zh-CN" w:bidi="ar"/>
        </w:rPr>
      </w:pPr>
      <w:r>
        <w:rPr>
          <w:rFonts w:hint="eastAsia" w:ascii="黑体" w:hAnsi="Times New Roman" w:eastAsia="黑体" w:cs="黑体"/>
          <w:b/>
          <w:bCs w:val="0"/>
          <w:w w:val="150"/>
          <w:kern w:val="2"/>
          <w:sz w:val="60"/>
          <w:szCs w:val="60"/>
          <w:lang w:val="en-US" w:eastAsia="zh-CN" w:bidi="ar"/>
        </w:rPr>
        <w:t>入学考试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b/>
          <w:bCs w:val="0"/>
          <w:w w:val="150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隶书" w:hAnsi="隶书" w:eastAsia="隶书" w:cs="隶书"/>
          <w:kern w:val="2"/>
          <w:sz w:val="240"/>
          <w:szCs w:val="240"/>
          <w:lang w:val="en-US" w:eastAsia="zh-CN" w:bidi="ar"/>
        </w:rPr>
      </w:pPr>
      <w:r>
        <w:rPr>
          <w:rFonts w:hint="eastAsia" w:ascii="隶书" w:hAnsi="隶书" w:eastAsia="隶书" w:cs="隶书"/>
          <w:kern w:val="2"/>
          <w:sz w:val="240"/>
          <w:szCs w:val="240"/>
          <w:lang w:val="en-US" w:eastAsia="zh-CN" w:bidi="ar"/>
        </w:rPr>
        <w:t>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隶书" w:hAnsi="隶书" w:eastAsia="隶书" w:cs="隶书"/>
          <w:kern w:val="2"/>
          <w:sz w:val="240"/>
          <w:szCs w:val="240"/>
          <w:lang w:val="en-US" w:eastAsia="zh-CN" w:bidi="ar"/>
        </w:rPr>
      </w:pPr>
      <w:r>
        <w:rPr>
          <w:rFonts w:hint="eastAsia" w:ascii="隶书" w:hAnsi="隶书" w:eastAsia="隶书" w:cs="隶书"/>
          <w:kern w:val="2"/>
          <w:sz w:val="240"/>
          <w:szCs w:val="240"/>
          <w:lang w:val="en-US" w:eastAsia="zh-CN" w:bidi="ar"/>
        </w:rPr>
        <w:t>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隶书" w:hAnsi="隶书" w:eastAsia="隶书" w:cs="隶书"/>
          <w:sz w:val="240"/>
          <w:szCs w:val="240"/>
          <w:lang w:val="en-US"/>
        </w:rPr>
      </w:pPr>
      <w:r>
        <w:rPr>
          <w:rFonts w:hint="eastAsia" w:ascii="隶书" w:hAnsi="隶书" w:eastAsia="隶书" w:cs="隶书"/>
          <w:kern w:val="2"/>
          <w:sz w:val="240"/>
          <w:szCs w:val="240"/>
          <w:lang w:val="en-US" w:eastAsia="zh-CN" w:bidi="ar"/>
        </w:rPr>
        <w:t>处</w:t>
      </w:r>
    </w:p>
    <w:p>
      <w:pPr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60"/>
          <w:szCs w:val="60"/>
          <w:lang w:val="en-US" w:eastAsia="zh-CN"/>
        </w:rPr>
        <w:t>考生入场分布</w:t>
      </w:r>
      <w:r>
        <w:rPr>
          <w:rFonts w:hint="eastAsia"/>
          <w:b/>
          <w:bCs/>
          <w:sz w:val="40"/>
          <w:szCs w:val="40"/>
          <w:lang w:val="en-US" w:eastAsia="zh-CN"/>
        </w:rPr>
        <w:t xml:space="preserve">  </w:t>
      </w:r>
    </w:p>
    <w:p>
      <w:pPr>
        <w:rPr>
          <w:rFonts w:hint="eastAsia"/>
          <w:b/>
          <w:bCs/>
          <w:sz w:val="60"/>
          <w:szCs w:val="60"/>
          <w:lang w:val="en-US" w:eastAsia="zh-CN"/>
        </w:rPr>
      </w:pPr>
      <w:r>
        <w:rPr>
          <w:rFonts w:hint="eastAsia"/>
          <w:b/>
          <w:bCs/>
          <w:sz w:val="60"/>
          <w:szCs w:val="60"/>
          <w:lang w:val="en-US" w:eastAsia="zh-CN"/>
        </w:rPr>
        <w:t xml:space="preserve">第一入口(尚美苑对面): </w:t>
      </w:r>
      <w:bookmarkStart w:id="0" w:name="_GoBack"/>
      <w:bookmarkEnd w:id="0"/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60"/>
          <w:szCs w:val="60"/>
          <w:lang w:val="en-US" w:eastAsia="zh-CN"/>
        </w:rPr>
        <w:t xml:space="preserve">  </w:t>
      </w:r>
      <w:r>
        <w:rPr>
          <w:rFonts w:hint="eastAsia"/>
          <w:sz w:val="50"/>
          <w:szCs w:val="50"/>
          <w:lang w:val="en-US" w:eastAsia="zh-CN"/>
        </w:rPr>
        <w:t xml:space="preserve">  教学楼301——306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 xml:space="preserve">    教学楼401——406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 xml:space="preserve">    教学楼501——506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 xml:space="preserve">    教学楼601——606</w:t>
      </w:r>
    </w:p>
    <w:p>
      <w:pPr>
        <w:rPr>
          <w:rFonts w:hint="eastAsia"/>
          <w:b/>
          <w:bCs/>
          <w:sz w:val="60"/>
          <w:szCs w:val="60"/>
          <w:lang w:val="en-US" w:eastAsia="zh-CN"/>
        </w:rPr>
      </w:pPr>
      <w:r>
        <w:rPr>
          <w:rFonts w:hint="eastAsia"/>
          <w:b/>
          <w:bCs/>
          <w:sz w:val="60"/>
          <w:szCs w:val="60"/>
          <w:lang w:val="en-US" w:eastAsia="zh-CN"/>
        </w:rPr>
        <w:t>第二入口(聂耳广场右侧):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 xml:space="preserve">    教学楼307——311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 xml:space="preserve">    教学楼407——411</w:t>
      </w:r>
    </w:p>
    <w:p>
      <w:pPr>
        <w:ind w:firstLine="1000" w:firstLineChars="200"/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>教学楼507——511</w:t>
      </w:r>
    </w:p>
    <w:p>
      <w:pPr>
        <w:ind w:firstLine="1000" w:firstLineChars="200"/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>教学楼607——610</w:t>
      </w:r>
    </w:p>
    <w:p>
      <w:pPr>
        <w:rPr>
          <w:rFonts w:hint="eastAsia"/>
          <w:b/>
          <w:bCs/>
          <w:sz w:val="60"/>
          <w:szCs w:val="60"/>
          <w:lang w:val="en-US" w:eastAsia="zh-CN"/>
        </w:rPr>
      </w:pPr>
      <w:r>
        <w:rPr>
          <w:rFonts w:hint="eastAsia"/>
          <w:b/>
          <w:bCs/>
          <w:sz w:val="60"/>
          <w:szCs w:val="60"/>
          <w:lang w:val="en-US" w:eastAsia="zh-CN"/>
        </w:rPr>
        <w:t>第三入口（琴房大楼一楼）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/>
          <w:sz w:val="50"/>
          <w:szCs w:val="50"/>
          <w:lang w:val="en-US" w:eastAsia="zh-CN"/>
        </w:rPr>
        <w:t>2楼多功能厅、4楼排练厅、6楼排练厅、8楼排练厅、10楼排练厅、12楼排练厅、14楼排练厅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A1B09"/>
    <w:rsid w:val="11CC715B"/>
    <w:rsid w:val="175D340E"/>
    <w:rsid w:val="3F6F4856"/>
    <w:rsid w:val="3FC138FA"/>
    <w:rsid w:val="5661719F"/>
    <w:rsid w:val="58A947B2"/>
    <w:rsid w:val="58C674BF"/>
    <w:rsid w:val="76DA1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2016-12-15T02:16:00Z</dcterms:created>
  <dc:creator>Administrator</dc:creator>
  <cp:lastModifiedBy>Administrator</cp:lastModifiedBy>
  <dcterms:modified xsi:type="dcterms:W3CDTF">2018-12-12T08:38:47Z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